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Раздел VI. НАЛОГОВЫЕ ПРАВОНАРУШЕНИЯ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ОТВЕТСТВЕННОСТЬ ЗА ИХ СОВЕРШЕНИЕ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16. ВИДЫ НАЛОГОВЫХ ПРАВОНАРУШЕНИЙ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ОТВЕТСТВЕННОСТЬ ЗА ИХ СОВЕРШЕНИЕ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129.3. Неуплата или неполная уплата сумм налога в результате применения в целях налогообложения в контролируемых сделках коммерческих и (или) финансовых условий, не сопоставимых с коммерческими и (или) финансовыми условиями сделок между лицами, не являющимися взаимозависимыми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129.4. Неправомерное непредставление уведомления о контролируемых сделках, представление недостоверных сведений в уведомлении о контролируемых сделках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Комментарий к </w:t>
      </w:r>
      <w:hyperlink r:id="rId5" w:history="1">
        <w:r>
          <w:rPr>
            <w:rFonts w:ascii="Calibri" w:hAnsi="Calibri" w:cs="Calibri"/>
            <w:color w:val="0000FF"/>
          </w:rPr>
          <w:t>статьям 129.3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129.4</w:t>
        </w:r>
      </w:hyperlink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 новыми </w:t>
      </w:r>
      <w:hyperlink r:id="rId7" w:history="1">
        <w:r>
          <w:rPr>
            <w:rFonts w:ascii="Calibri" w:hAnsi="Calibri" w:cs="Calibri"/>
            <w:color w:val="0000FF"/>
          </w:rPr>
          <w:t>статьями 129.3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129.4</w:t>
        </w:r>
      </w:hyperlink>
      <w:r>
        <w:rPr>
          <w:rFonts w:ascii="Calibri" w:hAnsi="Calibri" w:cs="Calibri"/>
        </w:rPr>
        <w:t xml:space="preserve"> НК РФ вводит новые составы налоговых правонарушений и ответственность за их совершение. </w:t>
      </w:r>
      <w:proofErr w:type="gramStart"/>
      <w:r>
        <w:rPr>
          <w:rFonts w:ascii="Calibri" w:hAnsi="Calibri" w:cs="Calibri"/>
        </w:rPr>
        <w:t>Речь идет о неуплате или неполной уплате сумм налога в результате применения в целях налогообложения в контролируемых сделках коммерческих и (или) финансовых условий, не сопоставимых с коммерческими и (или) финансовыми условиями сделок между лицами, не являющимися взаимозависимыми, и неправомерном непредставлении уведомления о контролируемых сделках, представлении недостоверных сведений в уведомлении о контролируемых сделках.</w:t>
      </w:r>
      <w:proofErr w:type="gramEnd"/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Так, 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129.3</w:t>
        </w:r>
      </w:hyperlink>
      <w:r>
        <w:rPr>
          <w:rFonts w:ascii="Calibri" w:hAnsi="Calibri" w:cs="Calibri"/>
        </w:rPr>
        <w:t xml:space="preserve"> НК РФ ответственность в виде взыскания штрафа в размере 40 процентов от неуплаченной суммы налога, но не менее 30000 рублей предусматривается за неуплату или неполную уплату сумм налога в результате применения в целях налогообложения в контролируемых сделках коммерческих и (или) финансовых условий, не сопоставимых с коммерческими и (или) финансовыми условиями сделок между лицами, 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являющимися взаимозависимыми.</w:t>
      </w:r>
      <w:proofErr w:type="gramEnd"/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Объектом данного правонарушения признаются правоотношения по уплате налогов между организацией и контролирующим органом, возникшие вследствие заключения налогоплательщиками сделки, признаваемой в соответствии </w:t>
      </w:r>
      <w:hyperlink r:id="rId10" w:history="1">
        <w:r>
          <w:rPr>
            <w:rFonts w:ascii="Calibri" w:hAnsi="Calibri" w:cs="Calibri"/>
            <w:color w:val="0000FF"/>
          </w:rPr>
          <w:t>НК</w:t>
        </w:r>
      </w:hyperlink>
      <w:r>
        <w:rPr>
          <w:rFonts w:ascii="Calibri" w:hAnsi="Calibri" w:cs="Calibri"/>
        </w:rPr>
        <w:t xml:space="preserve"> РФ контролируемой.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Объективная сторона включает в себя действия сторон, направленные на применение в целях налогообложения в контролируемых сделках коммерческих и (или) финансовых условий, не сопоставимых с коммерческими и (или) финансовыми условиями сделок между лицами, не являющимися взаимозависимыми.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proofErr w:type="gramStart"/>
        <w:r>
          <w:rPr>
            <w:rFonts w:ascii="Calibri" w:hAnsi="Calibri" w:cs="Calibri"/>
            <w:color w:val="0000FF"/>
          </w:rPr>
          <w:t>Пунктом 2 статьи 129.3</w:t>
        </w:r>
      </w:hyperlink>
      <w:r>
        <w:rPr>
          <w:rFonts w:ascii="Calibri" w:hAnsi="Calibri" w:cs="Calibri"/>
        </w:rPr>
        <w:t xml:space="preserve"> НК РФ установлены основания освобождения налогоплательщика от ответственности, предусмотренной </w:t>
      </w:r>
      <w:hyperlink r:id="rId12" w:history="1">
        <w:r>
          <w:rPr>
            <w:rFonts w:ascii="Calibri" w:hAnsi="Calibri" w:cs="Calibri"/>
            <w:color w:val="0000FF"/>
          </w:rPr>
          <w:t>пунктом 1 данной статьи</w:t>
        </w:r>
      </w:hyperlink>
      <w:r>
        <w:rPr>
          <w:rFonts w:ascii="Calibri" w:hAnsi="Calibri" w:cs="Calibri"/>
        </w:rPr>
        <w:t xml:space="preserve">. Таким условием является представление им налоговому органу документации, обосновывающей рыночный уровень примененных цен по контролируемым сделкам, в соответствии с порядком, установленным </w:t>
      </w:r>
      <w:hyperlink r:id="rId13" w:history="1">
        <w:r>
          <w:rPr>
            <w:rFonts w:ascii="Calibri" w:hAnsi="Calibri" w:cs="Calibri"/>
            <w:color w:val="0000FF"/>
          </w:rPr>
          <w:t>статьей 105.15</w:t>
        </w:r>
      </w:hyperlink>
      <w:r>
        <w:rPr>
          <w:rFonts w:ascii="Calibri" w:hAnsi="Calibri" w:cs="Calibri"/>
        </w:rPr>
        <w:t xml:space="preserve"> данного Кодекса, или в соответствии с порядком, установленным соглашением о ценообразовании для целей налогообложения.</w:t>
      </w:r>
      <w:proofErr w:type="gramEnd"/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</w:t>
      </w:r>
      <w:hyperlink r:id="rId14" w:history="1">
        <w:r>
          <w:rPr>
            <w:rFonts w:ascii="Calibri" w:hAnsi="Calibri" w:cs="Calibri"/>
            <w:color w:val="0000FF"/>
          </w:rPr>
          <w:t>пунктом 9 статьи 4</w:t>
        </w:r>
      </w:hyperlink>
      <w:r>
        <w:rPr>
          <w:rFonts w:ascii="Calibri" w:hAnsi="Calibri" w:cs="Calibri"/>
        </w:rPr>
        <w:t xml:space="preserve"> Закона N 227-ФЗ установлен порядок введения данной нормы. Так, привлечение к ответственности за налоговое правонарушение, предусмотренное </w:t>
      </w:r>
      <w:hyperlink r:id="rId15" w:history="1">
        <w:r>
          <w:rPr>
            <w:rFonts w:ascii="Calibri" w:hAnsi="Calibri" w:cs="Calibri"/>
            <w:color w:val="0000FF"/>
          </w:rPr>
          <w:t>статьей 129.3</w:t>
        </w:r>
      </w:hyperlink>
      <w:r>
        <w:rPr>
          <w:rFonts w:ascii="Calibri" w:hAnsi="Calibri" w:cs="Calibri"/>
        </w:rPr>
        <w:t xml:space="preserve"> Налогового кодекса Российской Федерации (в редакции Закона N 227-ФЗ), осуществляется в следующем порядке: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при вынесении решений о доначислении налогов за налоговые периоды, истекшие до дня вступления в силу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227-ФЗ, применяется порядок, действовавший до дня вступления в силу Закона N 227-ФЗ;</w:t>
      </w:r>
      <w:proofErr w:type="gramEnd"/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вынесении решений о доначислении налогов за налоговые периоды 2012 - 2013 годов налоговая санкция, предусмотренная </w:t>
      </w:r>
      <w:hyperlink r:id="rId17" w:history="1">
        <w:r>
          <w:rPr>
            <w:rFonts w:ascii="Calibri" w:hAnsi="Calibri" w:cs="Calibri"/>
            <w:color w:val="0000FF"/>
          </w:rPr>
          <w:t>пунктом 1 статьи 129.3</w:t>
        </w:r>
      </w:hyperlink>
      <w:r>
        <w:rPr>
          <w:rFonts w:ascii="Calibri" w:hAnsi="Calibri" w:cs="Calibri"/>
        </w:rPr>
        <w:t xml:space="preserve"> Налогового кодекса Российской Федерации (в редакции Закона N 227-ФЗ), не применяется;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вынесении решений о доначислении налогов за налоговые периоды 2014 - 2016 годов налоговая санкция, предусмотренная </w:t>
      </w:r>
      <w:hyperlink r:id="rId18" w:history="1">
        <w:r>
          <w:rPr>
            <w:rFonts w:ascii="Calibri" w:hAnsi="Calibri" w:cs="Calibri"/>
            <w:color w:val="0000FF"/>
          </w:rPr>
          <w:t>пунктом 1 статьи 129.3</w:t>
        </w:r>
      </w:hyperlink>
      <w:r>
        <w:rPr>
          <w:rFonts w:ascii="Calibri" w:hAnsi="Calibri" w:cs="Calibri"/>
        </w:rPr>
        <w:t xml:space="preserve"> Налогового кодекса Российской </w:t>
      </w:r>
      <w:r>
        <w:rPr>
          <w:rFonts w:ascii="Calibri" w:hAnsi="Calibri" w:cs="Calibri"/>
        </w:rPr>
        <w:lastRenderedPageBreak/>
        <w:t>Федерации (в редакции Закона N 227-ФЗ), применяется в размере 20 процентов от неуплаченной суммы налога;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вынесении решений о доначислении налогов за налоговые </w:t>
      </w:r>
      <w:proofErr w:type="gramStart"/>
      <w:r>
        <w:rPr>
          <w:rFonts w:ascii="Calibri" w:hAnsi="Calibri" w:cs="Calibri"/>
        </w:rPr>
        <w:t>периоды</w:t>
      </w:r>
      <w:proofErr w:type="gramEnd"/>
      <w:r>
        <w:rPr>
          <w:rFonts w:ascii="Calibri" w:hAnsi="Calibri" w:cs="Calibri"/>
        </w:rPr>
        <w:t xml:space="preserve"> начиная с 2017 года применяются положения </w:t>
      </w:r>
      <w:hyperlink r:id="rId19" w:history="1">
        <w:r>
          <w:rPr>
            <w:rFonts w:ascii="Calibri" w:hAnsi="Calibri" w:cs="Calibri"/>
            <w:color w:val="0000FF"/>
          </w:rPr>
          <w:t>пункта 1 статьи 129.3</w:t>
        </w:r>
      </w:hyperlink>
      <w:r>
        <w:rPr>
          <w:rFonts w:ascii="Calibri" w:hAnsi="Calibri" w:cs="Calibri"/>
        </w:rPr>
        <w:t xml:space="preserve"> Налогового кодекса Российской Федерации (в редакции Закона N 227-ФЗ).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 вступления в силу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227-ФЗ контролирующий орган вправе был привлекать к ответственности налогоплательщиков ввиду неуплаты или неполной уплаты сумм налога в связи с совершением сделок между взаимозависимыми лицами в рамках </w:t>
      </w:r>
      <w:hyperlink r:id="rId21" w:history="1">
        <w:r>
          <w:rPr>
            <w:rFonts w:ascii="Calibri" w:hAnsi="Calibri" w:cs="Calibri"/>
            <w:color w:val="0000FF"/>
          </w:rPr>
          <w:t>статьи 122</w:t>
        </w:r>
      </w:hyperlink>
      <w:r>
        <w:rPr>
          <w:rFonts w:ascii="Calibri" w:hAnsi="Calibri" w:cs="Calibri"/>
        </w:rPr>
        <w:t xml:space="preserve"> НК РФ, в соответствии с которой в результате занижения налоговой базы, иного неправильного исчисления налога (сбора) или других неправомерных действий (бездействия) происходит неуплата сумм налога (сбора</w:t>
      </w:r>
      <w:proofErr w:type="gramEnd"/>
      <w:r>
        <w:rPr>
          <w:rFonts w:ascii="Calibri" w:hAnsi="Calibri" w:cs="Calibri"/>
        </w:rPr>
        <w:t xml:space="preserve">). Ответственность за данное правонарушение </w:t>
      </w:r>
      <w:proofErr w:type="gramStart"/>
      <w:r>
        <w:rPr>
          <w:rFonts w:ascii="Calibri" w:hAnsi="Calibri" w:cs="Calibri"/>
        </w:rPr>
        <w:t>устанавливалась в виде штрафа и достигало</w:t>
      </w:r>
      <w:proofErr w:type="gramEnd"/>
      <w:r>
        <w:rPr>
          <w:rFonts w:ascii="Calibri" w:hAnsi="Calibri" w:cs="Calibri"/>
        </w:rPr>
        <w:t xml:space="preserve"> максимально в размере 40% от неуплаченной суммы налога. Хотелось бы отметить, что для нового вида налогового правонарушения законодатель устанавливает минимальную сумму штрафа в размере 30000 рублей.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статьей 129.4</w:t>
        </w:r>
      </w:hyperlink>
      <w:r>
        <w:rPr>
          <w:rFonts w:ascii="Calibri" w:hAnsi="Calibri" w:cs="Calibri"/>
        </w:rPr>
        <w:t xml:space="preserve"> НК РФ штраф в размере 5000 рублей установлен законодателем за неправомерное непредставление в установленный срок налогоплательщиком в налоговый орган уведомления о контролируемых сделках, совершенных в календарном году, или представление налогоплательщиком в налоговый орган уведомления о контролируемых сделках, содержащего недостоверные сведения.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Объектом данного правонарушения являются правоотношения по уплате налогов между организацией и контролирующим органом, возникшие вследствие заключения налогоплательщиками сделки, признаваемой в соответствии </w:t>
      </w:r>
      <w:hyperlink r:id="rId23" w:history="1">
        <w:r>
          <w:rPr>
            <w:rFonts w:ascii="Calibri" w:hAnsi="Calibri" w:cs="Calibri"/>
            <w:color w:val="0000FF"/>
          </w:rPr>
          <w:t>НК</w:t>
        </w:r>
      </w:hyperlink>
      <w:r>
        <w:rPr>
          <w:rFonts w:ascii="Calibri" w:hAnsi="Calibri" w:cs="Calibri"/>
        </w:rPr>
        <w:t xml:space="preserve"> РФ контролируемой.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Объективной стороной в данном случае является: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бездействие налогоплательщика относительно его обязанности представления документов, предусмотренных </w:t>
      </w:r>
      <w:hyperlink r:id="rId24" w:history="1">
        <w:r>
          <w:rPr>
            <w:rFonts w:ascii="Calibri" w:hAnsi="Calibri" w:cs="Calibri"/>
            <w:color w:val="0000FF"/>
          </w:rPr>
          <w:t>НК</w:t>
        </w:r>
      </w:hyperlink>
      <w:r>
        <w:rPr>
          <w:rFonts w:ascii="Calibri" w:hAnsi="Calibri" w:cs="Calibri"/>
        </w:rPr>
        <w:t xml:space="preserve"> РФ, в налоговый орган либо представление указанной информации позже положенного срока;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действия налогоплательщика, направленные на представление в налоговый орган уведомления о контролируемых сделках, содержащего недостоверные сведения.</w:t>
      </w:r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 вступления в силу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227-ФЗ контролирующий орган вправе был привлекать налогоплательщиков к ответственности только в рамках </w:t>
      </w:r>
      <w:hyperlink r:id="rId26" w:history="1">
        <w:r>
          <w:rPr>
            <w:rFonts w:ascii="Calibri" w:hAnsi="Calibri" w:cs="Calibri"/>
            <w:color w:val="0000FF"/>
          </w:rPr>
          <w:t>статьи 126</w:t>
        </w:r>
      </w:hyperlink>
      <w:r>
        <w:rPr>
          <w:rFonts w:ascii="Calibri" w:hAnsi="Calibri" w:cs="Calibri"/>
        </w:rPr>
        <w:t xml:space="preserve"> НК РФ, в соответствии с которой непредставление налоговому органу сведений, необходимых для осуществления налогового контроля, непредставление в установленный срок налогоплательщиком (плательщиком сбора налоговым агентом) в налоговые органы документов и (или) иных сведений, предусмотренных данным </w:t>
      </w:r>
      <w:hyperlink r:id="rId2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и иными актами законодательства 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налогах</w:t>
      </w:r>
      <w:proofErr w:type="gramEnd"/>
      <w:r>
        <w:rPr>
          <w:rFonts w:ascii="Calibri" w:hAnsi="Calibri" w:cs="Calibri"/>
        </w:rPr>
        <w:t xml:space="preserve"> и сборах влечет взыскание штрафа в размере 200 рублей за каждый непредставленный документ. Ответственность за данное правонарушение установлена в виде штрафа, максимальный размер которого составлял 10000 рублей. Очевидно, что выделение законодателем специальных составов налоговых правонарушений в отдельные статьи свидетельствует об особом внимании государства к контролю за ценой сделок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D4704C" w:rsidRDefault="00D4704C" w:rsidP="00D470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6061" w:rsidRDefault="00716061">
      <w:bookmarkStart w:id="0" w:name="_GoBack"/>
      <w:bookmarkEnd w:id="0"/>
    </w:p>
    <w:sectPr w:rsidR="00716061" w:rsidSect="00307DF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4C"/>
    <w:rsid w:val="00716061"/>
    <w:rsid w:val="00D4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2B7690B0E7B1CF12E18AA098B310FC3E7A7501ED1672089053A0B1A4157F33B1C37C85F7Cg1wCG" TargetMode="External"/><Relationship Id="rId13" Type="http://schemas.openxmlformats.org/officeDocument/2006/relationships/hyperlink" Target="consultantplus://offline/ref=76C2B7690B0E7B1CF12E18AA098B310FC3E7A7501ED1672089053A0B1A4157F33B1C37CB577Ag1w3G" TargetMode="External"/><Relationship Id="rId18" Type="http://schemas.openxmlformats.org/officeDocument/2006/relationships/hyperlink" Target="consultantplus://offline/ref=76C2B7690B0E7B1CF12E18AA098B310FC3E7A7501ED1672089053A0B1A4157F33B1C37C85F7Cg1w9G" TargetMode="External"/><Relationship Id="rId26" Type="http://schemas.openxmlformats.org/officeDocument/2006/relationships/hyperlink" Target="consultantplus://offline/ref=76C2B7690B0E7B1CF12E18AA098B310FC3E7A65113DC672089053A0B1A4157F33B1C37CB5F7F18B8g0w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C2B7690B0E7B1CF12E18AA098B310FC3E7A65113DC672089053A0B1A4157F33B1C37C35Fg7wCG" TargetMode="External"/><Relationship Id="rId7" Type="http://schemas.openxmlformats.org/officeDocument/2006/relationships/hyperlink" Target="consultantplus://offline/ref=76C2B7690B0E7B1CF12E18AA098B310FC3E7A7501ED1672089053A0B1A4157F33B1C37C85F7Cg1w8G" TargetMode="External"/><Relationship Id="rId12" Type="http://schemas.openxmlformats.org/officeDocument/2006/relationships/hyperlink" Target="consultantplus://offline/ref=76C2B7690B0E7B1CF12E18AA098B310FC3E7A7501ED1672089053A0B1A4157F33B1C37C85F7Cg1w9G" TargetMode="External"/><Relationship Id="rId17" Type="http://schemas.openxmlformats.org/officeDocument/2006/relationships/hyperlink" Target="consultantplus://offline/ref=76C2B7690B0E7B1CF12E18AA098B310FC3E7A7501ED1672089053A0B1A4157F33B1C37C85F7Cg1w9G" TargetMode="External"/><Relationship Id="rId25" Type="http://schemas.openxmlformats.org/officeDocument/2006/relationships/hyperlink" Target="consultantplus://offline/ref=76C2B7690B0E7B1CF12E18AA098B310FC3E7A75810DC672089053A0B1Ag4w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C2B7690B0E7B1CF12E18AA098B310FC3E7A75810DC672089053A0B1Ag4w1G" TargetMode="External"/><Relationship Id="rId20" Type="http://schemas.openxmlformats.org/officeDocument/2006/relationships/hyperlink" Target="consultantplus://offline/ref=76C2B7690B0E7B1CF12E18AA098B310FC3E7A75810DC672089053A0B1Ag4w1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C2B7690B0E7B1CF12E18AA098B310FC3E7A7501ED1672089053A0B1A4157F33B1C37C85F7Cg1wCG" TargetMode="External"/><Relationship Id="rId11" Type="http://schemas.openxmlformats.org/officeDocument/2006/relationships/hyperlink" Target="consultantplus://offline/ref=76C2B7690B0E7B1CF12E18AA098B310FC3E7A7501ED1672089053A0B1A4157F33B1C37C85F7Cg1wFG" TargetMode="External"/><Relationship Id="rId24" Type="http://schemas.openxmlformats.org/officeDocument/2006/relationships/hyperlink" Target="consultantplus://offline/ref=76C2B7690B0E7B1CF12E18AA098B310FC3E7A65113DC672089053A0B1Ag4w1G" TargetMode="External"/><Relationship Id="rId5" Type="http://schemas.openxmlformats.org/officeDocument/2006/relationships/hyperlink" Target="consultantplus://offline/ref=76C2B7690B0E7B1CF12E18AA098B310FC3E7A7501ED1672089053A0B1A4157F33B1C37C85F7Cg1w8G" TargetMode="External"/><Relationship Id="rId15" Type="http://schemas.openxmlformats.org/officeDocument/2006/relationships/hyperlink" Target="consultantplus://offline/ref=76C2B7690B0E7B1CF12E18AA098B310FC3E7A7501ED1672089053A0B1A4157F33B1C37C85F7Cg1w8G" TargetMode="External"/><Relationship Id="rId23" Type="http://schemas.openxmlformats.org/officeDocument/2006/relationships/hyperlink" Target="consultantplus://offline/ref=76C2B7690B0E7B1CF12E18AA098B310FC3E7A65113DC672089053A0B1Ag4w1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6C2B7690B0E7B1CF12E18AA098B310FC3E7A65113DC672089053A0B1Ag4w1G" TargetMode="External"/><Relationship Id="rId19" Type="http://schemas.openxmlformats.org/officeDocument/2006/relationships/hyperlink" Target="consultantplus://offline/ref=76C2B7690B0E7B1CF12E18AA098B310FC3E7A7501ED1672089053A0B1A4157F33B1C37C85F7Cg1w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C2B7690B0E7B1CF12E18AA098B310FC3E7A7501ED1672089053A0B1A4157F33B1C37C85F7Cg1w8G" TargetMode="External"/><Relationship Id="rId14" Type="http://schemas.openxmlformats.org/officeDocument/2006/relationships/hyperlink" Target="consultantplus://offline/ref=76C2B7690B0E7B1CF12E18AA098B310FC3E7A75810DC672089053A0B1A4157F33B1C37CB5F7E1CB8g0w2G" TargetMode="External"/><Relationship Id="rId22" Type="http://schemas.openxmlformats.org/officeDocument/2006/relationships/hyperlink" Target="consultantplus://offline/ref=76C2B7690B0E7B1CF12E18AA098B310FC3E7A7501ED1672089053A0B1A4157F33B1C37C85F7Cg1wCG" TargetMode="External"/><Relationship Id="rId27" Type="http://schemas.openxmlformats.org/officeDocument/2006/relationships/hyperlink" Target="consultantplus://offline/ref=76C2B7690B0E7B1CF12E18AA098B310FC3E7A65113DC672089053A0B1Ag4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2014-08-28T06:48:00Z</dcterms:created>
  <dcterms:modified xsi:type="dcterms:W3CDTF">2014-08-28T06:49:00Z</dcterms:modified>
</cp:coreProperties>
</file>